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90C" w:rsidRPr="000B6844" w:rsidRDefault="00F7590C" w:rsidP="009941A5">
      <w:pPr>
        <w:tabs>
          <w:tab w:val="left" w:pos="598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7A18DC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П.11</w:t>
      </w:r>
      <w:r w:rsidRPr="000B684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«е»  Информация 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  <w:r w:rsidR="009D709F" w:rsidRPr="009D70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 xml:space="preserve"> </w:t>
      </w:r>
      <w:r w:rsidR="009D709F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АО «Саратовстройстекло»</w:t>
      </w:r>
      <w:bookmarkStart w:id="0" w:name="_GoBack"/>
      <w:bookmarkEnd w:id="0"/>
      <w:r w:rsidRPr="000B6844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, включая перечень мероприятий, необходимых для осуществления технологического присоединения к электрическим сетям, и порядок выполнения этих мероприятий с указанием ссылок на нормативные правовые акты</w:t>
      </w:r>
    </w:p>
    <w:p w:rsidR="00F7590C" w:rsidRPr="000B6844" w:rsidRDefault="00F7590C" w:rsidP="00F7590C">
      <w:pPr>
        <w:tabs>
          <w:tab w:val="left" w:pos="598"/>
        </w:tabs>
        <w:spacing w:before="100" w:beforeAutospacing="1" w:after="100" w:afterAutospacing="1" w:line="240" w:lineRule="auto"/>
        <w:ind w:right="350"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Подключение электроустановок потребителей к электрическим сетям </w:t>
      </w:r>
      <w:r w:rsidRPr="007A18DC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АО «Саратовстройстекло»</w:t>
      </w:r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выполняется в соответствии «Правилами технологического присоединения </w:t>
      </w:r>
      <w:proofErr w:type="spell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энергопринимающих</w:t>
      </w:r>
      <w:proofErr w:type="spell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утверждёнными Постановлением Правительства РФ №861 от 27 декабря 2004 г., (с изменениями и дополнениями от 31 августа 2006 г., 21 марта, 26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июля 2007 г., 14 февраля, 21 апреля, 15 июня, 2 октября 2009 г., 3 марта, 15 мая, 9 июня, 24 сентября 2010 г., 1 марта, 29 декабря 2011 г.,  4 мая, 5 октября, 22 ноября, 20 декабря 2012 г., 26 июля, 12, 26 августа, 12, 28 октября, 21 ноября 2013 г., 10 февраля 2014 г., 20 февраля 2014, 11 июня</w:t>
      </w:r>
      <w:proofErr w:type="gramEnd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proofErr w:type="gramStart"/>
      <w:r w:rsidRPr="000B6844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2014, 31 июля 2014 г., 13 марта, 13 апреля, 11 июня, 7 июля, 4, 30 сентября 2015 г.), (далее по тексту Правила).</w:t>
      </w:r>
      <w:proofErr w:type="gramEnd"/>
    </w:p>
    <w:p w:rsidR="00F7590C" w:rsidRPr="009941A5" w:rsidRDefault="00F7590C" w:rsidP="009941A5">
      <w:pPr>
        <w:tabs>
          <w:tab w:val="left" w:pos="851"/>
        </w:tabs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</w:pPr>
      <w:r w:rsidRPr="000B6844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 xml:space="preserve">Порядок выполнения технологических, технических и других мероприятий, связанных с технологическим присоединением к электрическим сетям </w:t>
      </w:r>
      <w:r w:rsidRPr="009941A5">
        <w:rPr>
          <w:rFonts w:ascii="Times New Roman" w:eastAsia="Times New Roman" w:hAnsi="Times New Roman" w:cs="Times New Roman"/>
          <w:b/>
          <w:bCs/>
          <w:color w:val="000000" w:themeColor="text1"/>
          <w:sz w:val="17"/>
          <w:szCs w:val="17"/>
          <w:lang w:eastAsia="ru-RU"/>
        </w:rPr>
        <w:t>АО «Саратовстройстекло»</w:t>
      </w:r>
    </w:p>
    <w:p w:rsidR="00F7590C" w:rsidRPr="009941A5" w:rsidRDefault="00F7590C" w:rsidP="009941A5">
      <w:pPr>
        <w:pStyle w:val="a3"/>
        <w:tabs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bookmarkStart w:id="1" w:name="sub_40182"/>
      <w:bookmarkStart w:id="2" w:name="sub_4073"/>
      <w:bookmarkEnd w:id="1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Подача заявки юридическим или физическим лицом (далее - заявитель), которое имеет намерение осуществить технологическое присоединение, реконструкцию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и</w:t>
      </w:r>
      <w:r w:rsidR="00446F64" w:rsidRP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(</w:t>
      </w:r>
      <w:r w:rsidR="00446F64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или)</w:t>
      </w: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увеличение объема максимальной мощности, точки присоединения</w:t>
      </w:r>
      <w:bookmarkStart w:id="3" w:name="sub_4072"/>
      <w:bookmarkEnd w:id="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Подготовка и направление Заявителю проекта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договора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об осуществлении технологического присоединения включая технические условия</w:t>
      </w:r>
      <w:bookmarkEnd w:id="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Заключение договора об осуществлении технологического присоединения.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Сетевой организацией проектной документации согласно обязательствам, предусм</w:t>
      </w:r>
      <w:bookmarkStart w:id="4" w:name="sub_40183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отренным техническими условиями.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</w:t>
      </w:r>
      <w:bookmarkEnd w:id="4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  <w:bookmarkStart w:id="5" w:name="sub_40184"/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</w:t>
      </w:r>
      <w:bookmarkEnd w:id="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Проверку Сетевой организацией выполнения Заявителем технических условий (с оформлением по результатам такой проверки акта о выполнении Заявителем технических условий, согласованного с соответствующим субъектом оперативно-диспетчерского управления в случае, если технические условия в соответствии с Правилами подлежат согласованию с таким субъектом оперативно-диспетчерского управления), за исключением заявителей, указанных в </w:t>
      </w:r>
      <w:hyperlink r:id="rId6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7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8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а также допуск в эксплуатацию установленного в процессе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технологического присоединения прибора учета электрической энергии,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включающий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составление акта допуска прибора учета в эксплуатацию в порядке, предусмотренном </w:t>
      </w:r>
      <w:hyperlink r:id="rId9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Основными положениями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функционирования розничных рынков электрической энергии.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</w:t>
      </w: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Осмотр (обследование) присоединяемых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Правилами согласованию с таким субъектом оперативно-диспетчерского управления (для лиц, указанных в </w:t>
      </w:r>
      <w:hyperlink r:id="rId10" w:anchor="sub_401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в случае осуществления технологического присоединения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указанных Заявителей по третьей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категории надежности (по одному источнику электроснабжения к электрическим сетям классом напряжения до 10 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кВ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включительно, а также для лиц, указанных в </w:t>
      </w:r>
      <w:hyperlink r:id="rId11" w:anchor="sub_4121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пунктах 12.1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, </w:t>
      </w:r>
      <w:hyperlink r:id="rId12" w:anchor="sub_4013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и </w:t>
      </w:r>
      <w:hyperlink r:id="rId13" w:anchor="sub_4014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14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Правил, осмотр присоединяемых электроустановок Заявителя, включая вводные распределительные устройства, должен осуществляться Сетевой организацией с участием Заявителя), с выдачей акта осмотра (обследования) 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 Заявителя.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Осуществление сетевой организацией фактического присоединения объектов заявителя к электрическим сетям. Для целей Правил под фактическим присоединением понимается комплекс технических и организационных мероприятий, обеспечивающих физическое соединение (контакт) объектов электросетевого хозяйства сетевой организации, в которую была подана заявка, и объектов заявителя (</w:t>
      </w:r>
      <w:proofErr w:type="spell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энергопринимающих</w:t>
      </w:r>
      <w:proofErr w:type="spell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устройств) без осуществления фактической подачи (приема) напряжения и мощности на объекты заявителя (фиксация коммутационного ап</w:t>
      </w:r>
      <w:bookmarkStart w:id="6" w:name="sub_40742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парата в положении "отключено").</w:t>
      </w:r>
    </w:p>
    <w:p w:rsidR="00F7590C" w:rsidRPr="009941A5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 Фактический прием (подача) напряжения и мощности, осуществляемый путем включения коммутационного аппарата (фиксация коммутационного аппарата в положении "включено")</w:t>
      </w:r>
      <w:bookmarkEnd w:id="6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F7590C" w:rsidRDefault="00F7590C" w:rsidP="009941A5">
      <w:pPr>
        <w:pStyle w:val="a3"/>
        <w:numPr>
          <w:ilvl w:val="0"/>
          <w:numId w:val="2"/>
        </w:numPr>
        <w:tabs>
          <w:tab w:val="left" w:pos="634"/>
          <w:tab w:val="left" w:pos="851"/>
          <w:tab w:val="left" w:pos="984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  <w:proofErr w:type="gramStart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Составление акта об осуществлении технологического присоединения по форме согласно </w:t>
      </w:r>
      <w:hyperlink r:id="rId14" w:anchor="sub_46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1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об осуществлении технологического присоединения), акта разграничения границ балансовой принадлежности сторон по форме согласно </w:t>
      </w:r>
      <w:hyperlink r:id="rId15" w:anchor="sub_47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2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границ балансовой принадлежности сторон), акта разграничения эксплуатационной ответственности сторон по форме согласно </w:t>
      </w:r>
      <w:hyperlink r:id="rId16" w:anchor="sub_48000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приложению N 3</w:t>
        </w:r>
      </w:hyperlink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 (далее - акт разграничения эксплуатационной ответственности сторон), а также акта</w:t>
      </w:r>
      <w:proofErr w:type="gramEnd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согласования технологической и (или) аварийной брони (для заявителей, указанных в </w:t>
      </w:r>
      <w:hyperlink r:id="rId17" w:anchor="sub_401402" w:history="1">
        <w:r w:rsidRPr="009941A5">
          <w:rPr>
            <w:rFonts w:ascii="Times New Roman" w:eastAsia="Times New Roman" w:hAnsi="Times New Roman" w:cs="Times New Roman"/>
            <w:color w:val="000000" w:themeColor="text1"/>
            <w:sz w:val="17"/>
            <w:szCs w:val="17"/>
            <w:u w:val="single"/>
            <w:lang w:eastAsia="ru-RU"/>
          </w:rPr>
          <w:t>пункте 14.2</w:t>
        </w:r>
      </w:hyperlink>
      <w:bookmarkStart w:id="7" w:name="sub_401625"/>
      <w:r w:rsidRPr="009941A5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 xml:space="preserve"> Правил)</w:t>
      </w:r>
      <w:r w:rsidR="00F71A47"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  <w:t>.</w:t>
      </w:r>
    </w:p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bookmarkEnd w:id="7"/>
    <w:p w:rsidR="00446F64" w:rsidRDefault="00446F64" w:rsidP="00446F64">
      <w:pPr>
        <w:pStyle w:val="a3"/>
        <w:tabs>
          <w:tab w:val="left" w:pos="634"/>
          <w:tab w:val="left" w:pos="851"/>
          <w:tab w:val="left" w:pos="9848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17"/>
          <w:szCs w:val="17"/>
          <w:lang w:eastAsia="ru-RU"/>
        </w:rPr>
      </w:pPr>
    </w:p>
    <w:sectPr w:rsidR="0044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D6B"/>
    <w:multiLevelType w:val="hybridMultilevel"/>
    <w:tmpl w:val="3EA49FF8"/>
    <w:lvl w:ilvl="0" w:tplc="87461DA2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4" w:hanging="360"/>
      </w:pPr>
    </w:lvl>
    <w:lvl w:ilvl="2" w:tplc="0419001B" w:tentative="1">
      <w:start w:val="1"/>
      <w:numFmt w:val="lowerRoman"/>
      <w:lvlText w:val="%3."/>
      <w:lvlJc w:val="right"/>
      <w:pPr>
        <w:ind w:left="2434" w:hanging="180"/>
      </w:pPr>
    </w:lvl>
    <w:lvl w:ilvl="3" w:tplc="0419000F" w:tentative="1">
      <w:start w:val="1"/>
      <w:numFmt w:val="decimal"/>
      <w:lvlText w:val="%4."/>
      <w:lvlJc w:val="left"/>
      <w:pPr>
        <w:ind w:left="3154" w:hanging="360"/>
      </w:pPr>
    </w:lvl>
    <w:lvl w:ilvl="4" w:tplc="04190019" w:tentative="1">
      <w:start w:val="1"/>
      <w:numFmt w:val="lowerLetter"/>
      <w:lvlText w:val="%5."/>
      <w:lvlJc w:val="left"/>
      <w:pPr>
        <w:ind w:left="3874" w:hanging="360"/>
      </w:pPr>
    </w:lvl>
    <w:lvl w:ilvl="5" w:tplc="0419001B" w:tentative="1">
      <w:start w:val="1"/>
      <w:numFmt w:val="lowerRoman"/>
      <w:lvlText w:val="%6."/>
      <w:lvlJc w:val="right"/>
      <w:pPr>
        <w:ind w:left="4594" w:hanging="180"/>
      </w:pPr>
    </w:lvl>
    <w:lvl w:ilvl="6" w:tplc="0419000F" w:tentative="1">
      <w:start w:val="1"/>
      <w:numFmt w:val="decimal"/>
      <w:lvlText w:val="%7."/>
      <w:lvlJc w:val="left"/>
      <w:pPr>
        <w:ind w:left="5314" w:hanging="360"/>
      </w:pPr>
    </w:lvl>
    <w:lvl w:ilvl="7" w:tplc="04190019" w:tentative="1">
      <w:start w:val="1"/>
      <w:numFmt w:val="lowerLetter"/>
      <w:lvlText w:val="%8."/>
      <w:lvlJc w:val="left"/>
      <w:pPr>
        <w:ind w:left="6034" w:hanging="360"/>
      </w:pPr>
    </w:lvl>
    <w:lvl w:ilvl="8" w:tplc="041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>
    <w:nsid w:val="36E53DCC"/>
    <w:multiLevelType w:val="hybridMultilevel"/>
    <w:tmpl w:val="FF96C12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C"/>
    <w:rsid w:val="00446F64"/>
    <w:rsid w:val="00657D4E"/>
    <w:rsid w:val="009941A5"/>
    <w:rsid w:val="009D709F"/>
    <w:rsid w:val="00AC6C09"/>
    <w:rsid w:val="00F71A47"/>
    <w:rsid w:val="00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gs.ru/stand_2016_5.php" TargetMode="External"/><Relationship Id="rId13" Type="http://schemas.openxmlformats.org/officeDocument/2006/relationships/hyperlink" Target="http://www.spgs.ru/stand_2016_5.ph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gs.ru/stand_2016_5.php" TargetMode="External"/><Relationship Id="rId12" Type="http://schemas.openxmlformats.org/officeDocument/2006/relationships/hyperlink" Target="http://www.spgs.ru/stand_2016_5.php" TargetMode="External"/><Relationship Id="rId17" Type="http://schemas.openxmlformats.org/officeDocument/2006/relationships/hyperlink" Target="http://www.spgs.ru/stand_2016_5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gs.ru/stand_2016_5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pgs.ru/stand_2016_5.php" TargetMode="External"/><Relationship Id="rId11" Type="http://schemas.openxmlformats.org/officeDocument/2006/relationships/hyperlink" Target="http://www.spgs.ru/stand_2016_5.ph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gs.ru/stand_2016_5.php" TargetMode="External"/><Relationship Id="rId10" Type="http://schemas.openxmlformats.org/officeDocument/2006/relationships/hyperlink" Target="http://www.spgs.ru/stand_2016_5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083216.1000/" TargetMode="External"/><Relationship Id="rId14" Type="http://schemas.openxmlformats.org/officeDocument/2006/relationships/hyperlink" Target="http://www.spgs.ru/stand_2016_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Тюкаева Наталья Александровна</dc:creator>
  <cp:lastModifiedBy>Тюкаева Наталья Александровна</cp:lastModifiedBy>
  <cp:revision>6</cp:revision>
  <dcterms:created xsi:type="dcterms:W3CDTF">2017-11-28T12:34:00Z</dcterms:created>
  <dcterms:modified xsi:type="dcterms:W3CDTF">2017-11-30T12:08:00Z</dcterms:modified>
</cp:coreProperties>
</file>